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16496">
      <w:pPr>
        <w:spacing w:before="0" w:after="0" w:line="360" w:lineRule="auto"/>
        <w:ind w:firstLine="480"/>
        <w:jc w:val="center"/>
        <w:rPr>
          <w:rFonts w:hint="default" w:ascii="Times New Roman" w:hAnsi="Times New Roman" w:eastAsia="方正小标宋简体" w:cs="Times New Roman"/>
          <w:b w:val="0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b w:val="0"/>
          <w:sz w:val="40"/>
          <w:szCs w:val="40"/>
        </w:rPr>
        <w:t>盐城工业职业技术学院学术委员会</w:t>
      </w:r>
    </w:p>
    <w:p w14:paraId="61701711">
      <w:pPr>
        <w:spacing w:before="0" w:after="0" w:line="360" w:lineRule="auto"/>
        <w:ind w:firstLine="480"/>
        <w:jc w:val="center"/>
        <w:rPr>
          <w:rFonts w:hint="default" w:ascii="Times New Roman" w:hAnsi="Times New Roman" w:eastAsia="方正小标宋简体" w:cs="Times New Roman"/>
          <w:b w:val="0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b w:val="0"/>
          <w:sz w:val="40"/>
          <w:szCs w:val="40"/>
        </w:rPr>
        <w:t>2025-2026学年度工作报告</w:t>
      </w:r>
    </w:p>
    <w:p w14:paraId="58F60168">
      <w:pPr>
        <w:spacing w:before="0" w:after="200" w:line="360" w:lineRule="auto"/>
        <w:jc w:val="center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（2025年9月 - 2026年8月）</w:t>
      </w:r>
    </w:p>
    <w:p w14:paraId="273F57FB">
      <w:pPr>
        <w:spacing w:before="0" w:after="0" w:line="360" w:lineRule="auto"/>
        <w:ind w:firstLine="480"/>
        <w:jc w:val="both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本学年度，校学术委员会在校党委和行政的领导下，依据《盐城工业职业技术学院学术委员会章程》，紧扣学校高质量发展与内涵建设主线，聚焦职称评审制度改革、微专业建设与专业布局优化等核心议题，切实履行学术评价、审议与咨询职能，学术治理效能持续提升，为学校科学决策提供了坚实支撑。现将本学年度主要工作报告如下：</w:t>
      </w:r>
    </w:p>
    <w:p w14:paraId="1D6815A1">
      <w:pPr>
        <w:keepNext/>
        <w:spacing w:before="120" w:after="40" w:line="360" w:lineRule="auto"/>
        <w:ind w:firstLine="560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sz w:val="32"/>
          <w:szCs w:val="32"/>
        </w:rPr>
        <w:t>一、严把职称评审关口，建强人才评价机制</w:t>
      </w:r>
    </w:p>
    <w:p w14:paraId="62F49A03">
      <w:pPr>
        <w:spacing w:before="0" w:after="200" w:line="360" w:lineRule="auto"/>
        <w:ind w:firstLine="560" w:firstLineChars="200"/>
        <w:jc w:val="both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2025年12月2日，学术委员会召开工作会议，专题审议2025年度职称资格审查工作。会议听取人事处关于资格审查总体情况的汇报，并就提请委员会审定的具体事项逐项作了说明与审议，与会委员围绕评审标准、认定程序等展开讨论并提出意见建议。刘玉申主任指出，职称评审是学校人才队伍建设的重要指挥棒，学术委员会要以专业标准开展学术评价，为专业建设、职称评审、成果认定提供专业咨询；要坚持标准、聚焦质量、优化程序、严肃纪律、着眼长远，持续完善人才评价机制，确保评审权威性与公正性。会议明确了下一阶段职称评审工作重点任务，为人才评价体系科学、规范、高效运行奠定了坚实基础。本学年度，职称评审工作平稳有序，评价导向更加突出学术质量与业绩贡献，委员审议意见均得到有效吸纳与落实。</w:t>
      </w:r>
    </w:p>
    <w:p w14:paraId="3994818C">
      <w:pPr>
        <w:keepNext/>
        <w:spacing w:before="120" w:after="40" w:line="360" w:lineRule="auto"/>
        <w:ind w:firstLine="560"/>
        <w:jc w:val="left"/>
        <w:rPr>
          <w:rFonts w:hint="default" w:ascii="Times New Roman" w:hAnsi="Times New Roman" w:eastAsia="黑体" w:cs="Times New Roman"/>
          <w:b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sz w:val="32"/>
          <w:szCs w:val="32"/>
        </w:rPr>
        <w:t>二、深化专业提质，服务区域产业需求</w:t>
      </w:r>
    </w:p>
    <w:p w14:paraId="507891E6">
      <w:pPr>
        <w:spacing w:before="0" w:after="200" w:line="360" w:lineRule="auto"/>
        <w:ind w:firstLine="560" w:firstLineChars="200"/>
        <w:jc w:val="both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2026年6月16日，学术委员会召开工作会议，重点审议两项议题。一是制度完善方面，听取人事处关于《盐城工业职业技术学院专业技术资格评审办法》修订情况的汇报，强调恪守学术规范、严格审核把关，为职称评审提供更科学的制度依据。二是专业提质方面，听取教务处关于</w:t>
      </w:r>
      <w:r>
        <w:rPr>
          <w:rFonts w:hint="eastAsia" w:ascii="Times New Roman" w:hAnsi="Times New Roman" w:eastAsia="方正仿宋_GB2312" w:cs="Times New Roman"/>
          <w:b w:val="0"/>
          <w:sz w:val="28"/>
          <w:szCs w:val="28"/>
          <w:lang w:eastAsia="zh-CN"/>
        </w:rPr>
        <w:t>“‘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双千</w:t>
      </w:r>
      <w:r>
        <w:rPr>
          <w:rFonts w:hint="eastAsia" w:ascii="Times New Roman" w:hAnsi="Times New Roman" w:eastAsia="方正仿宋_GB2312" w:cs="Times New Roman"/>
          <w:b w:val="0"/>
          <w:sz w:val="28"/>
          <w:szCs w:val="28"/>
          <w:lang w:eastAsia="zh-CN"/>
        </w:rPr>
        <w:t>’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计划</w:t>
      </w:r>
      <w:r>
        <w:rPr>
          <w:rFonts w:hint="eastAsia" w:ascii="Times New Roman" w:hAnsi="Times New Roman" w:eastAsia="方正仿宋_GB2312" w:cs="Times New Roman"/>
          <w:b w:val="0"/>
          <w:sz w:val="28"/>
          <w:szCs w:val="28"/>
          <w:lang w:eastAsia="zh-CN"/>
        </w:rPr>
        <w:t>‘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微专业</w:t>
      </w:r>
      <w:r>
        <w:rPr>
          <w:rFonts w:hint="eastAsia" w:ascii="Times New Roman" w:hAnsi="Times New Roman" w:eastAsia="方正仿宋_GB2312" w:cs="Times New Roman"/>
          <w:b w:val="0"/>
          <w:sz w:val="28"/>
          <w:szCs w:val="28"/>
          <w:lang w:eastAsia="zh-CN"/>
        </w:rPr>
        <w:t>’</w:t>
      </w:r>
      <w:bookmarkStart w:id="0" w:name="_GoBack"/>
      <w:bookmarkEnd w:id="0"/>
      <w:r>
        <w:rPr>
          <w:rFonts w:hint="eastAsia" w:ascii="Times New Roman" w:hAnsi="Times New Roman" w:eastAsia="方正仿宋_GB2312" w:cs="Times New Roman"/>
          <w:b w:val="0"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注册备案及2026年招生专业调整的专项汇报，立足区域产业发展需求，对微专业建设与专业布局优化开展全过程监督，推动人才培养与产业需求精准对接。与会人员围绕制度修订细节与专业调整方案充分交换意见，进一步凝聚了改革共识。</w:t>
      </w:r>
    </w:p>
    <w:p w14:paraId="0EC693E4">
      <w:pPr>
        <w:keepNext/>
        <w:spacing w:before="120" w:after="40" w:line="360" w:lineRule="auto"/>
        <w:ind w:firstLine="560"/>
        <w:jc w:val="left"/>
        <w:rPr>
          <w:rFonts w:hint="default" w:ascii="Times New Roman" w:hAnsi="Times New Roman" w:eastAsia="黑体" w:cs="Times New Roman"/>
          <w:b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sz w:val="32"/>
          <w:szCs w:val="32"/>
        </w:rPr>
        <w:t>三、压实履职责任，构建治理闭环</w:t>
      </w:r>
    </w:p>
    <w:p w14:paraId="1D6DF119">
      <w:pPr>
        <w:spacing w:before="0" w:after="200" w:line="360" w:lineRule="auto"/>
        <w:ind w:firstLine="560" w:firstLineChars="200"/>
        <w:jc w:val="both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刘玉申主任从制度完善、专业提质、履职落实三个维度明确工作要求，强调全体委员要主动压实履职责任，与相关职能部门协同构建完整工作闭环，持续夯实学校学术治理能力，全面提升人才培养水平与内涵建设质量，为学校高质量发展提供坚实的学术保障。本学年度，委员会坚持聚焦质量、服务大局，以专业化审议支撑学校科学决策，委员参与度和议事的规范性明显增强。</w:t>
      </w:r>
    </w:p>
    <w:p w14:paraId="5534A9AA">
      <w:pPr>
        <w:keepNext/>
        <w:spacing w:before="120" w:after="40" w:line="360" w:lineRule="auto"/>
        <w:ind w:firstLine="560"/>
        <w:jc w:val="left"/>
        <w:rPr>
          <w:rFonts w:hint="default" w:ascii="Times New Roman" w:hAnsi="Times New Roman" w:eastAsia="黑体" w:cs="Times New Roman"/>
          <w:b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sz w:val="32"/>
          <w:szCs w:val="32"/>
        </w:rPr>
        <w:t>四、经验总结与未来展望</w:t>
      </w:r>
    </w:p>
    <w:p w14:paraId="008DE3C8">
      <w:pPr>
        <w:spacing w:before="0" w:after="200" w:line="360" w:lineRule="auto"/>
        <w:ind w:firstLine="560" w:firstLineChars="200"/>
        <w:jc w:val="both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回顾2025-2026学年度，学术委员会围绕职称评审与专业建设两大主线扎实履职，各项工作有序推进，但在微专业全链条监督、委员履职考核等方面仍有完善空间。展望新学年，委员会将重点推进以下工作：</w:t>
      </w:r>
    </w:p>
    <w:p w14:paraId="366029B3">
      <w:pPr>
        <w:spacing w:before="0" w:after="200" w:line="360" w:lineRule="auto"/>
        <w:ind w:firstLine="562" w:firstLineChars="200"/>
        <w:jc w:val="both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</w:rPr>
        <w:t>（一）健全分类评价机制。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围绕职称制度改革方向，完善业绩成果导向的分类评价指标，推动职称评审由</w:t>
      </w:r>
      <w:r>
        <w:rPr>
          <w:rFonts w:hint="eastAsia" w:ascii="Times New Roman" w:hAnsi="Times New Roman" w:eastAsia="方正仿宋_GB2312" w:cs="Times New Roman"/>
          <w:b w:val="0"/>
          <w:sz w:val="28"/>
          <w:szCs w:val="28"/>
          <w:lang w:eastAsia="zh-CN"/>
        </w:rPr>
        <w:t>“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重程序</w:t>
      </w:r>
      <w:r>
        <w:rPr>
          <w:rFonts w:hint="eastAsia" w:ascii="Times New Roman" w:hAnsi="Times New Roman" w:eastAsia="方正仿宋_GB2312" w:cs="Times New Roman"/>
          <w:b w:val="0"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向</w:t>
      </w:r>
      <w:r>
        <w:rPr>
          <w:rFonts w:hint="eastAsia" w:ascii="Times New Roman" w:hAnsi="Times New Roman" w:eastAsia="方正仿宋_GB2312" w:cs="Times New Roman"/>
          <w:b w:val="0"/>
          <w:sz w:val="28"/>
          <w:szCs w:val="28"/>
          <w:lang w:eastAsia="zh-CN"/>
        </w:rPr>
        <w:t>“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重质量、重贡献</w:t>
      </w:r>
      <w:r>
        <w:rPr>
          <w:rFonts w:hint="eastAsia" w:ascii="Times New Roman" w:hAnsi="Times New Roman" w:eastAsia="方正仿宋_GB2312" w:cs="Times New Roman"/>
          <w:b w:val="0"/>
          <w:sz w:val="28"/>
          <w:szCs w:val="28"/>
          <w:lang w:eastAsia="zh-CN"/>
        </w:rPr>
        <w:t>”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深化。</w:t>
      </w:r>
    </w:p>
    <w:p w14:paraId="7C67ADB0">
      <w:pPr>
        <w:spacing w:before="0" w:after="200" w:line="360" w:lineRule="auto"/>
        <w:ind w:firstLine="562" w:firstLineChars="200"/>
        <w:jc w:val="both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</w:rPr>
        <w:t>（二）深化微专业全链条监督。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对接区域产业与就业需求，健全微专业设置、运行、评价闭环管理机制，动态优化专业布局，提升人才培养与产业的适配度。</w:t>
      </w:r>
    </w:p>
    <w:p w14:paraId="6D9B0EAA">
      <w:pPr>
        <w:spacing w:before="0" w:after="200" w:line="360" w:lineRule="auto"/>
        <w:ind w:firstLine="562" w:firstLineChars="200"/>
        <w:jc w:val="both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</w:rPr>
        <w:t>（三）强化委员履职考核。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建立委员履职清单与考核评价办法，提升议题调研深度与决策咨询质量，激发委员履职活力。</w:t>
      </w:r>
    </w:p>
    <w:p w14:paraId="5D646E3C">
      <w:pPr>
        <w:spacing w:before="0" w:after="200" w:line="360" w:lineRule="auto"/>
        <w:ind w:firstLine="562" w:firstLineChars="200"/>
        <w:jc w:val="both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</w:rPr>
        <w:t>（四）推进数字化学术治理。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依托信息化手段优化议事流程与留痕管理，提升审议效率与透明度，增强治理的可追溯性。</w:t>
      </w:r>
    </w:p>
    <w:p w14:paraId="02753742">
      <w:pPr>
        <w:spacing w:before="0" w:after="200" w:line="360" w:lineRule="auto"/>
        <w:ind w:firstLine="560" w:firstLineChars="200"/>
        <w:jc w:val="both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本学年度学术委员会各项工作的顺利开展，得益于全体委员的勤勉履职和学校各部门的协同支持。未来，学术委员会将继续守正创新、担当作为，恪守学术规范、服务发展大局，以更高水平的学术治理助力学校高质量发展和人才强校战略实施。</w:t>
      </w:r>
    </w:p>
    <w:p w14:paraId="5ABD9DA4">
      <w:pPr>
        <w:spacing w:before="240" w:after="0" w:line="360" w:lineRule="auto"/>
        <w:jc w:val="right"/>
        <w:rPr>
          <w:rFonts w:hint="default" w:ascii="Times New Roman" w:hAnsi="Times New Roman" w:eastAsia="方正仿宋_GB2312" w:cs="Times New Roman"/>
          <w:b w:val="0"/>
          <w:sz w:val="28"/>
          <w:szCs w:val="28"/>
        </w:rPr>
      </w:pPr>
    </w:p>
    <w:p w14:paraId="29C627AD">
      <w:pPr>
        <w:spacing w:before="240" w:after="0" w:line="360" w:lineRule="auto"/>
        <w:jc w:val="right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盐城工业职业技术学院学术委员会</w:t>
      </w:r>
    </w:p>
    <w:p w14:paraId="0C8218EA">
      <w:pPr>
        <w:spacing w:before="0" w:after="0" w:line="360" w:lineRule="auto"/>
        <w:jc w:val="right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sz w:val="28"/>
          <w:szCs w:val="28"/>
        </w:rPr>
        <w:t>二〇二六年九月</w:t>
      </w:r>
      <w:r>
        <w:rPr>
          <w:rFonts w:hint="default" w:ascii="Times New Roman" w:hAnsi="Times New Roman" w:eastAsia="方正仿宋_GB2312" w:cs="Times New Roman"/>
          <w:b w:val="0"/>
          <w:sz w:val="28"/>
          <w:szCs w:val="28"/>
          <w:lang w:val="en-US" w:eastAsia="zh-CN"/>
        </w:rPr>
        <w:t>十日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F0EA94-7BC0-483B-823B-DF40D69A65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5E1559A-2EE2-438B-A226-9C710844F81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8FBB4DE-374D-47B3-8649-5BC09C8ABF1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80792C"/>
    <w:rsid w:val="0B5E5DFE"/>
    <w:rsid w:val="13FE19A3"/>
    <w:rsid w:val="19F17E3E"/>
    <w:rsid w:val="21ED1832"/>
    <w:rsid w:val="275A34C6"/>
    <w:rsid w:val="28F90ABD"/>
    <w:rsid w:val="2F7D2448"/>
    <w:rsid w:val="30850E88"/>
    <w:rsid w:val="422449A5"/>
    <w:rsid w:val="44C45165"/>
    <w:rsid w:val="5712706A"/>
    <w:rsid w:val="63EB0A27"/>
    <w:rsid w:val="679D64DC"/>
    <w:rsid w:val="67FD341E"/>
    <w:rsid w:val="6CED1CB3"/>
    <w:rsid w:val="6DBD3434"/>
    <w:rsid w:val="704264B0"/>
    <w:rsid w:val="71105F71"/>
    <w:rsid w:val="72F5541E"/>
    <w:rsid w:val="759A22AD"/>
    <w:rsid w:val="78656BA2"/>
    <w:rsid w:val="7CB1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1424</Words>
  <Characters>1462</Characters>
  <Lines>0</Lines>
  <Paragraphs>0</Paragraphs>
  <TotalTime>17</TotalTime>
  <ScaleCrop>false</ScaleCrop>
  <LinksUpToDate>false</LinksUpToDate>
  <CharactersWithSpaces>1464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我就是这样啊</cp:lastModifiedBy>
  <dcterms:modified xsi:type="dcterms:W3CDTF">2026-10-29T08:38:59Z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eyJoZGlkIjoiNGQzMzFlYWJmNGVmNDM5YmJmMjUwMzY3MDQwMWY3MjEiLCJ1c2VySWQiOiIzOTQxMjc0NzgifQ==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FF49DF1016AB4713BB92390240ACA410_12</vt:lpwstr>
  </property>
</Properties>
</file>